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0B9D3" w14:textId="77777777" w:rsidR="00147925" w:rsidRDefault="00147925" w:rsidP="00147925">
      <w:pPr>
        <w:spacing w:after="0" w:line="360" w:lineRule="auto"/>
        <w:ind w:firstLine="420"/>
        <w:jc w:val="center"/>
        <w:rPr>
          <w:sz w:val="24"/>
        </w:rPr>
      </w:pPr>
      <w:r w:rsidRPr="00147925">
        <w:rPr>
          <w:sz w:val="24"/>
        </w:rPr>
        <w:t>构建城市发展的“战略指南针”：巴特瑙海姆的本土化治理路径与中国样板设想</w:t>
      </w:r>
    </w:p>
    <w:p w14:paraId="4E7320AD" w14:textId="2410BD46" w:rsidR="00147925" w:rsidRDefault="00147925" w:rsidP="00147925">
      <w:pPr>
        <w:spacing w:after="0" w:line="360" w:lineRule="auto"/>
        <w:ind w:firstLine="420"/>
        <w:jc w:val="center"/>
        <w:rPr>
          <w:sz w:val="24"/>
        </w:rPr>
      </w:pPr>
      <w:r>
        <w:rPr>
          <w:rFonts w:hint="eastAsia"/>
          <w:sz w:val="24"/>
        </w:rPr>
        <w:t>叶绚琪</w:t>
      </w:r>
    </w:p>
    <w:p w14:paraId="0A138D8E" w14:textId="0EF4B79B" w:rsidR="00EF2A4D" w:rsidRPr="001D6AEA" w:rsidRDefault="00EF2A4D" w:rsidP="001D6AEA">
      <w:pPr>
        <w:spacing w:after="0" w:line="360" w:lineRule="auto"/>
        <w:ind w:firstLine="420"/>
        <w:jc w:val="both"/>
        <w:rPr>
          <w:rFonts w:hint="eastAsia"/>
          <w:sz w:val="24"/>
        </w:rPr>
      </w:pPr>
      <w:r w:rsidRPr="001D6AEA">
        <w:rPr>
          <w:sz w:val="24"/>
        </w:rPr>
        <w:t xml:space="preserve">德国中部的巴特瑙海姆是一座拥有3.4万名居民的温泉疗养小镇。自2014年起，该市就被认证为“公平贸易小镇” </w:t>
      </w:r>
      <w:r w:rsidR="00C10030" w:rsidRPr="00147925">
        <w:rPr>
          <w:rFonts w:hint="eastAsia"/>
          <w:sz w:val="24"/>
        </w:rPr>
        <w:t>（</w:t>
      </w:r>
      <w:r w:rsidR="00147925" w:rsidRPr="00147925">
        <w:rPr>
          <w:sz w:val="24"/>
        </w:rPr>
        <w:t>Fairtrade Town</w:t>
      </w:r>
      <w:r w:rsidR="00C10030" w:rsidRPr="00147925">
        <w:rPr>
          <w:rFonts w:hint="eastAsia"/>
          <w:sz w:val="24"/>
        </w:rPr>
        <w:t>）</w:t>
      </w:r>
      <w:r w:rsidRPr="00147925">
        <w:rPr>
          <w:sz w:val="24"/>
        </w:rPr>
        <w:t>。</w:t>
      </w:r>
      <w:r w:rsidRPr="001D6AEA">
        <w:rPr>
          <w:sz w:val="24"/>
        </w:rPr>
        <w:t>为了应对日益严峻的系统性挑战，巴特瑙海姆于2021年</w:t>
      </w:r>
      <w:r w:rsidR="00147925">
        <w:rPr>
          <w:rFonts w:hint="eastAsia"/>
          <w:sz w:val="24"/>
        </w:rPr>
        <w:t>政府</w:t>
      </w:r>
      <w:r w:rsidRPr="001D6AEA">
        <w:rPr>
          <w:sz w:val="24"/>
        </w:rPr>
        <w:t>正式引入了“甜甜圈经济学”框架</w:t>
      </w:r>
      <w:r w:rsidR="00E2736A">
        <w:rPr>
          <w:rFonts w:hint="eastAsia"/>
          <w:sz w:val="24"/>
        </w:rPr>
        <w:t>，</w:t>
      </w:r>
      <w:r w:rsidRPr="001D6AEA">
        <w:rPr>
          <w:sz w:val="24"/>
        </w:rPr>
        <w:t xml:space="preserve">旨在将整体视角融入市政府及其附属公司的决策流程中。这一深刻的变革最初由外部专家向市长等关键决策者引荐，随后市政府专门成立了可持续发展与气候保护办公室，并聘请专家来主导该项目的落地，展现出一种政府与专家深度对接的“多方合作”推动模式 。 </w:t>
      </w:r>
    </w:p>
    <w:p w14:paraId="2B2A436C" w14:textId="5D347153" w:rsidR="00EF2A4D" w:rsidRPr="001D6AEA" w:rsidRDefault="00EF2A4D" w:rsidP="001D6AEA">
      <w:pPr>
        <w:spacing w:after="0" w:line="360" w:lineRule="auto"/>
        <w:ind w:firstLine="420"/>
        <w:jc w:val="both"/>
        <w:rPr>
          <w:rFonts w:hint="eastAsia"/>
          <w:sz w:val="24"/>
        </w:rPr>
      </w:pPr>
      <w:r w:rsidRPr="001D6AEA">
        <w:rPr>
          <w:sz w:val="24"/>
        </w:rPr>
        <w:t>在应用“甜甜圈”框架的过程中，巴特瑙海姆并未让其停留在宏大的概念层面，而是将其进行了深度的本土化与工具化。该市构建了专属的</w:t>
      </w:r>
      <w:r w:rsidRPr="00147925">
        <w:rPr>
          <w:sz w:val="24"/>
        </w:rPr>
        <w:t>“巴特瑙海姆甜甜圈”模型</w:t>
      </w:r>
      <w:r w:rsidR="00C10030">
        <w:rPr>
          <w:rFonts w:hint="eastAsia"/>
          <w:sz w:val="24"/>
        </w:rPr>
        <w:t>[</w:t>
      </w:r>
      <w:r w:rsidR="00E2736A">
        <w:rPr>
          <w:rFonts w:hint="eastAsia"/>
          <w:sz w:val="24"/>
        </w:rPr>
        <w:t>1</w:t>
      </w:r>
      <w:r w:rsidR="00C10030">
        <w:rPr>
          <w:rFonts w:hint="eastAsia"/>
          <w:sz w:val="24"/>
        </w:rPr>
        <w:t>]</w:t>
      </w:r>
      <w:r w:rsidRPr="001D6AEA">
        <w:rPr>
          <w:sz w:val="24"/>
        </w:rPr>
        <w:t xml:space="preserve">，将其作为城市长期发展的战略指南针与行动愿景。更为核心的是，该市开发了“甜甜圈筛选工具”，供城市项目协调员在项目开发阶段对各项活动进行系统性评估。这一工具的评估结果会以不同格式导出，直接用于城市的项目规划或年度预算审批流程中。此外，基于本地数据的“城市肖像”指标体系也正在加紧制定中 。 </w:t>
      </w:r>
    </w:p>
    <w:p w14:paraId="0F6960FA" w14:textId="27F83370" w:rsidR="00EF2A4D" w:rsidRPr="001D6AEA" w:rsidRDefault="00EF2A4D" w:rsidP="001D6AEA">
      <w:pPr>
        <w:spacing w:after="0" w:line="360" w:lineRule="auto"/>
        <w:ind w:firstLine="420"/>
        <w:jc w:val="both"/>
        <w:rPr>
          <w:rFonts w:hint="eastAsia"/>
          <w:sz w:val="24"/>
        </w:rPr>
      </w:pPr>
      <w:r w:rsidRPr="001D6AEA">
        <w:rPr>
          <w:sz w:val="24"/>
        </w:rPr>
        <w:t>从“四镜头”结构来看</w:t>
      </w:r>
      <w:r w:rsidR="00E2736A">
        <w:rPr>
          <w:rFonts w:hint="eastAsia"/>
          <w:sz w:val="24"/>
        </w:rPr>
        <w:t>，</w:t>
      </w:r>
      <w:r w:rsidRPr="001D6AEA">
        <w:rPr>
          <w:sz w:val="24"/>
        </w:rPr>
        <w:t>巴特瑙海姆的实践展现了对本地与全球、生态与社会维度的全面考量。</w:t>
      </w:r>
      <w:r w:rsidR="00F83CBC" w:rsidRPr="00F83CBC">
        <w:rPr>
          <w:sz w:val="24"/>
        </w:rPr>
        <w:t>在</w:t>
      </w:r>
      <w:r w:rsidR="00F83CBC" w:rsidRPr="00147925">
        <w:rPr>
          <w:sz w:val="24"/>
        </w:rPr>
        <w:t>气候保护</w:t>
      </w:r>
      <w:r w:rsidR="00F83CBC" w:rsidRPr="00F83CBC">
        <w:rPr>
          <w:sz w:val="24"/>
        </w:rPr>
        <w:t>方面，该市将其作为可持续发展的核心，旨在通过系统性方法实现碳减排。针对</w:t>
      </w:r>
      <w:r w:rsidR="00F83CBC" w:rsidRPr="00147925">
        <w:rPr>
          <w:sz w:val="24"/>
        </w:rPr>
        <w:t>气候适应</w:t>
      </w:r>
      <w:r w:rsidR="00F83CBC" w:rsidRPr="00F83CBC">
        <w:rPr>
          <w:sz w:val="24"/>
        </w:rPr>
        <w:t>，巴特瑙海姆已将多项具体措施列入预算优先级别，以增强城市面对极端气候的韧性。</w:t>
      </w:r>
      <w:r w:rsidR="00F83CBC" w:rsidRPr="00147925">
        <w:rPr>
          <w:sz w:val="24"/>
        </w:rPr>
        <w:t>空气质量</w:t>
      </w:r>
      <w:r w:rsidR="00F83CBC" w:rsidRPr="00F83CBC">
        <w:rPr>
          <w:sz w:val="24"/>
        </w:rPr>
        <w:t>与</w:t>
      </w:r>
      <w:r w:rsidR="00F83CBC" w:rsidRPr="00147925">
        <w:rPr>
          <w:sz w:val="24"/>
        </w:rPr>
        <w:t>自然保护</w:t>
      </w:r>
      <w:r w:rsidR="00F83CBC" w:rsidRPr="00F83CBC">
        <w:rPr>
          <w:sz w:val="24"/>
        </w:rPr>
        <w:t>维度则紧密结合其“温泉疗养地”的城市特质，通过保护矿物质泉源和生态空间，确保居民与游</w:t>
      </w:r>
      <w:r w:rsidR="00F83CBC" w:rsidRPr="00F83CBC">
        <w:rPr>
          <w:sz w:val="24"/>
        </w:rPr>
        <w:lastRenderedPageBreak/>
        <w:t>客的健康福祉。在</w:t>
      </w:r>
      <w:r w:rsidR="00F83CBC" w:rsidRPr="00147925">
        <w:rPr>
          <w:sz w:val="24"/>
        </w:rPr>
        <w:t>土地利用</w:t>
      </w:r>
      <w:r w:rsidR="00F83CBC" w:rsidRPr="00F83CBC">
        <w:rPr>
          <w:sz w:val="24"/>
        </w:rPr>
        <w:t>上，该市强调土地的开发必须透明且符合生态边界，避免孤立的城市扩张。而</w:t>
      </w:r>
      <w:r w:rsidR="00F83CBC" w:rsidRPr="00147925">
        <w:rPr>
          <w:sz w:val="24"/>
        </w:rPr>
        <w:t>水资源管理</w:t>
      </w:r>
      <w:r w:rsidR="00F83CBC" w:rsidRPr="00F83CBC">
        <w:rPr>
          <w:sz w:val="24"/>
        </w:rPr>
        <w:t>则侧重于以负责任且气候友好的方式，利用这座历史名城宝贵的地下水与温泉资源。</w:t>
      </w:r>
      <w:r w:rsidRPr="001D6AEA">
        <w:rPr>
          <w:sz w:val="24"/>
        </w:rPr>
        <w:t>面对严峻的气候变化压力，该市制定了包含42项本地温室气体减排措施的《综合气候保护计划》，且每项措施都经过了严格的“甜甜圈评估”。在全球责任层面，该市引入此框架的初衷便是为了运用系统性方法应对“气候正义”等紧迫挑战，致力于在一个涵盖全局的框架中寻找答案，主动讨论并承担全球责任</w:t>
      </w:r>
      <w:r w:rsidR="00E2736A">
        <w:rPr>
          <w:rFonts w:hint="eastAsia"/>
          <w:sz w:val="24"/>
        </w:rPr>
        <w:t>，</w:t>
      </w:r>
      <w:r w:rsidRPr="001D6AEA">
        <w:rPr>
          <w:sz w:val="24"/>
        </w:rPr>
        <w:t xml:space="preserve">从而避免将社会与环境成本向外部地区或后代转嫁。 </w:t>
      </w:r>
    </w:p>
    <w:p w14:paraId="58BA0905" w14:textId="02EDBB26" w:rsidR="00EF2A4D" w:rsidRPr="001D6AEA" w:rsidRDefault="00EF2A4D" w:rsidP="001D6AEA">
      <w:pPr>
        <w:spacing w:after="0" w:line="360" w:lineRule="auto"/>
        <w:ind w:firstLine="420"/>
        <w:jc w:val="both"/>
        <w:rPr>
          <w:rFonts w:hint="eastAsia"/>
          <w:sz w:val="24"/>
        </w:rPr>
      </w:pPr>
      <w:r w:rsidRPr="001D6AEA">
        <w:rPr>
          <w:sz w:val="24"/>
        </w:rPr>
        <w:t>该城市最突出的社会短板在于公众参与决策的深度，而最核心的生态压力则是气候变化带来的系统性挑战。为了解决这些问题，巴特瑙海姆建立了一套广泛而创新的公众参与机制。2022年，该市举办了为期数月的“未来工作坊”审议式研讨会。为了拓展新的视角并吸引更多元的群体，政府采用了“随机抽取市民”的原则，邀请了100名居民参与共创 。这些市民与专家分组讨论，共同制定了21项旨在帮助城市融入安全且公正空间的措施。随后，全体市民也可以通过专门的线上平台对这些措施进行评估和讨论。最终，有7项主要涉及气候适应的优先措施于2024年10月顺利获得地方议会批准并纳入预算。</w:t>
      </w:r>
      <w:r w:rsidR="00E2736A">
        <w:rPr>
          <w:rFonts w:hint="eastAsia"/>
          <w:sz w:val="24"/>
        </w:rPr>
        <w:t>[2]</w:t>
      </w:r>
      <w:r w:rsidRPr="001D6AEA">
        <w:rPr>
          <w:sz w:val="24"/>
        </w:rPr>
        <w:t xml:space="preserve"> </w:t>
      </w:r>
    </w:p>
    <w:p w14:paraId="73F8F97A" w14:textId="796F3192" w:rsidR="00EF2A4D" w:rsidRPr="001D6AEA" w:rsidRDefault="00EF2A4D" w:rsidP="001D6AEA">
      <w:pPr>
        <w:spacing w:after="0" w:line="360" w:lineRule="auto"/>
        <w:ind w:firstLine="420"/>
        <w:jc w:val="both"/>
        <w:rPr>
          <w:rFonts w:hint="eastAsia"/>
          <w:sz w:val="24"/>
        </w:rPr>
      </w:pPr>
      <w:r w:rsidRPr="001D6AEA">
        <w:rPr>
          <w:sz w:val="24"/>
        </w:rPr>
        <w:t>巴特瑙海姆的探索为中国城市研究提供了宝贵的借鉴。首先，该案例最值得学习的是其将宏观理念转化为如“筛选工具”这样的刚性评估标准，并直接与政府项目的立项和财政预算挂钩，这种高度“制度化”的做法能有效避免可持续发展流于形式。其次，其通过随机抽取市民进行长周期共创的机制，打破了传统决策模式的局限</w:t>
      </w:r>
      <w:r w:rsidR="00E2736A">
        <w:rPr>
          <w:rFonts w:hint="eastAsia"/>
          <w:sz w:val="24"/>
        </w:rPr>
        <w:t>，</w:t>
      </w:r>
      <w:r w:rsidRPr="001D6AEA">
        <w:rPr>
          <w:sz w:val="24"/>
        </w:rPr>
        <w:t xml:space="preserve">极大提升了政策的科学性与公众接受度。 </w:t>
      </w:r>
    </w:p>
    <w:p w14:paraId="46600A79" w14:textId="2476E290" w:rsidR="00C10030" w:rsidRDefault="00147925" w:rsidP="00147925">
      <w:pPr>
        <w:spacing w:after="0" w:line="360" w:lineRule="auto"/>
        <w:ind w:firstLine="420"/>
        <w:jc w:val="both"/>
        <w:rPr>
          <w:sz w:val="24"/>
        </w:rPr>
      </w:pPr>
      <w:r w:rsidRPr="00147925">
        <w:rPr>
          <w:sz w:val="24"/>
        </w:rPr>
        <w:t>将“甜甜圈经济”理论引入中国城市实践时，必须摒弃宏观空泛的铺开，转向基于空间尺度与发展绩效的精准本土化迭代。鉴于中国超大、特大城市人口密度</w:t>
      </w:r>
      <w:r w:rsidRPr="00147925">
        <w:rPr>
          <w:sz w:val="24"/>
        </w:rPr>
        <w:lastRenderedPageBreak/>
        <w:t>极高且体量庞大的现状，建议采取“自下而上”的网格化试点，以15分钟社区生活圈、区级行政单位或零碳产业园区为基本单元，开展微观压力测试，将抽象理论分解为可监测的社区指标。在执行过程中，应将理论中的“生态天花板”直接转化为产业准入标准，在保障GDP稳健增长的同时，通过监控单位产值能耗与碳排放强度，实现产业升级与生态承载力的深度协同。最终，通过整合保障性住房覆盖率与城市韧性基础设施等本土需求，打造出兼顾“高效率产出”与“低生态足迹”、符合中国“双碳”与“共同富裕”目标的“甜甜圈城市”本土样板。</w:t>
      </w:r>
    </w:p>
    <w:p w14:paraId="6D9811EC" w14:textId="77777777" w:rsidR="00147925" w:rsidRDefault="00147925" w:rsidP="00147925">
      <w:pPr>
        <w:spacing w:after="0" w:line="360" w:lineRule="auto"/>
        <w:ind w:firstLine="420"/>
        <w:jc w:val="both"/>
        <w:rPr>
          <w:sz w:val="24"/>
        </w:rPr>
      </w:pPr>
    </w:p>
    <w:p w14:paraId="255E3ABB" w14:textId="77777777" w:rsidR="00147925" w:rsidRDefault="00147925" w:rsidP="00147925">
      <w:pPr>
        <w:spacing w:after="0" w:line="360" w:lineRule="auto"/>
        <w:ind w:firstLine="420"/>
        <w:jc w:val="both"/>
        <w:rPr>
          <w:rFonts w:hint="eastAsia"/>
          <w:sz w:val="24"/>
        </w:rPr>
      </w:pPr>
    </w:p>
    <w:p w14:paraId="014299DB" w14:textId="77777777" w:rsidR="00E2736A" w:rsidRPr="00E2736A" w:rsidRDefault="00E2736A" w:rsidP="00E2736A">
      <w:pPr>
        <w:spacing w:after="0" w:line="360" w:lineRule="auto"/>
        <w:jc w:val="both"/>
        <w:rPr>
          <w:b/>
          <w:bCs/>
          <w:sz w:val="24"/>
        </w:rPr>
      </w:pPr>
      <w:r w:rsidRPr="00E2736A">
        <w:rPr>
          <w:b/>
          <w:bCs/>
          <w:sz w:val="24"/>
        </w:rPr>
        <w:t>参考文献</w:t>
      </w:r>
    </w:p>
    <w:p w14:paraId="731522A6" w14:textId="129BBD10" w:rsidR="00E2736A" w:rsidRPr="00E2736A" w:rsidRDefault="00E2736A" w:rsidP="00E2736A">
      <w:pPr>
        <w:spacing w:after="0" w:line="360" w:lineRule="auto"/>
        <w:jc w:val="both"/>
        <w:rPr>
          <w:b/>
          <w:bCs/>
          <w:sz w:val="24"/>
        </w:rPr>
      </w:pPr>
      <w:r w:rsidRPr="00E2736A">
        <w:rPr>
          <w:b/>
          <w:bCs/>
          <w:sz w:val="24"/>
        </w:rPr>
        <w:t xml:space="preserve">[1] DEAL. Local government case study: Bad Nauheim, Germany [EB/OL]. (2025-07-30) </w:t>
      </w:r>
      <w:hyperlink r:id="rId5" w:anchor="bad-nauheims-story-in-english" w:tgtFrame="_blank" w:history="1">
        <w:r w:rsidRPr="00E2736A">
          <w:rPr>
            <w:rStyle w:val="ae"/>
            <w:b/>
            <w:bCs/>
            <w:sz w:val="24"/>
          </w:rPr>
          <w:t>https://doughnuteconomics.org/stories/local-government-case-study-bad-nauheim-germany-a266bd39-0d03-4602-8edf-4f3d9b366cd5#bad-nauheims-story-in-english</w:t>
        </w:r>
      </w:hyperlink>
      <w:r w:rsidRPr="00E2736A">
        <w:rPr>
          <w:b/>
          <w:bCs/>
          <w:sz w:val="24"/>
        </w:rPr>
        <w:t xml:space="preserve">. </w:t>
      </w:r>
    </w:p>
    <w:p w14:paraId="0CDF2E13" w14:textId="7BB0B8D8" w:rsidR="00E2736A" w:rsidRPr="00E2736A" w:rsidRDefault="00E2736A" w:rsidP="00E2736A">
      <w:pPr>
        <w:spacing w:after="0" w:line="360" w:lineRule="auto"/>
        <w:jc w:val="both"/>
        <w:rPr>
          <w:b/>
          <w:bCs/>
          <w:sz w:val="24"/>
        </w:rPr>
      </w:pPr>
      <w:r w:rsidRPr="00E2736A">
        <w:rPr>
          <w:b/>
          <w:bCs/>
          <w:sz w:val="24"/>
        </w:rPr>
        <w:t xml:space="preserve">[2] 巴特瑙海姆市政府. </w:t>
      </w:r>
      <w:proofErr w:type="spellStart"/>
      <w:r w:rsidRPr="00E2736A">
        <w:rPr>
          <w:b/>
          <w:bCs/>
          <w:sz w:val="24"/>
        </w:rPr>
        <w:t>Online-Bürger:innenbeteiligung</w:t>
      </w:r>
      <w:proofErr w:type="spellEnd"/>
      <w:r w:rsidRPr="00E2736A">
        <w:rPr>
          <w:b/>
          <w:bCs/>
          <w:sz w:val="24"/>
        </w:rPr>
        <w:t xml:space="preserve"> </w:t>
      </w:r>
      <w:proofErr w:type="spellStart"/>
      <w:r w:rsidRPr="00E2736A">
        <w:rPr>
          <w:b/>
          <w:bCs/>
          <w:sz w:val="24"/>
        </w:rPr>
        <w:t>zu</w:t>
      </w:r>
      <w:proofErr w:type="spellEnd"/>
      <w:r w:rsidRPr="00E2736A">
        <w:rPr>
          <w:b/>
          <w:bCs/>
          <w:sz w:val="24"/>
        </w:rPr>
        <w:t xml:space="preserve"> </w:t>
      </w:r>
      <w:proofErr w:type="spellStart"/>
      <w:r w:rsidRPr="00E2736A">
        <w:rPr>
          <w:b/>
          <w:bCs/>
          <w:sz w:val="24"/>
        </w:rPr>
        <w:t>Nachhaltigkeit</w:t>
      </w:r>
      <w:proofErr w:type="spellEnd"/>
      <w:r w:rsidRPr="00E2736A">
        <w:rPr>
          <w:b/>
          <w:bCs/>
          <w:sz w:val="24"/>
        </w:rPr>
        <w:t xml:space="preserve"> </w:t>
      </w:r>
      <w:proofErr w:type="spellStart"/>
      <w:r w:rsidRPr="00E2736A">
        <w:rPr>
          <w:b/>
          <w:bCs/>
          <w:sz w:val="24"/>
        </w:rPr>
        <w:t>gestartet</w:t>
      </w:r>
      <w:proofErr w:type="spellEnd"/>
      <w:r w:rsidRPr="00E2736A">
        <w:rPr>
          <w:b/>
          <w:bCs/>
          <w:sz w:val="24"/>
        </w:rPr>
        <w:t xml:space="preserve"> [EB/OL]. (2022-11-02) </w:t>
      </w:r>
      <w:hyperlink r:id="rId6" w:tgtFrame="_blank" w:history="1">
        <w:r w:rsidRPr="00E2736A">
          <w:rPr>
            <w:rStyle w:val="ae"/>
            <w:b/>
            <w:bCs/>
            <w:sz w:val="24"/>
          </w:rPr>
          <w:t>https://www.bad-nauheim.de/de/aktuelles-bad-nauheim/buergernah/2022/2022-11-02-online-buerger-innenbeteiligung</w:t>
        </w:r>
      </w:hyperlink>
      <w:r w:rsidRPr="00E2736A">
        <w:rPr>
          <w:b/>
          <w:bCs/>
          <w:sz w:val="24"/>
        </w:rPr>
        <w:t xml:space="preserve">. </w:t>
      </w:r>
    </w:p>
    <w:p w14:paraId="68F73FFA" w14:textId="45B032DA" w:rsidR="00E2736A" w:rsidRPr="00E2736A" w:rsidRDefault="00E2736A" w:rsidP="00E2736A">
      <w:pPr>
        <w:spacing w:after="0" w:line="360" w:lineRule="auto"/>
        <w:jc w:val="both"/>
        <w:rPr>
          <w:b/>
          <w:bCs/>
          <w:sz w:val="24"/>
        </w:rPr>
      </w:pPr>
      <w:r w:rsidRPr="00E2736A">
        <w:rPr>
          <w:b/>
          <w:bCs/>
          <w:sz w:val="24"/>
        </w:rPr>
        <w:t xml:space="preserve">[3] 德国设计委员会杂志. "Economy Is a Design Task": Kate Raworth and the Doughnut Economy [EB/OL]. (2025-02-10) </w:t>
      </w:r>
      <w:hyperlink r:id="rId7" w:tgtFrame="_blank" w:history="1">
        <w:r w:rsidRPr="00E2736A">
          <w:rPr>
            <w:rStyle w:val="ae"/>
            <w:b/>
            <w:bCs/>
            <w:sz w:val="24"/>
          </w:rPr>
          <w:t>https://www.german-design-council.de/en/design-perspectives/article-detail/kate-raworth-and-the-doughnut-economy</w:t>
        </w:r>
      </w:hyperlink>
      <w:r w:rsidRPr="00E2736A">
        <w:rPr>
          <w:b/>
          <w:bCs/>
          <w:sz w:val="24"/>
        </w:rPr>
        <w:t xml:space="preserve">. </w:t>
      </w:r>
    </w:p>
    <w:p w14:paraId="2AFD39E6" w14:textId="77777777" w:rsidR="00C10030" w:rsidRPr="00E2736A" w:rsidRDefault="00C10030" w:rsidP="00C10030">
      <w:pPr>
        <w:spacing w:after="0" w:line="360" w:lineRule="auto"/>
        <w:jc w:val="both"/>
        <w:rPr>
          <w:rFonts w:hint="eastAsia"/>
          <w:sz w:val="24"/>
        </w:rPr>
      </w:pPr>
    </w:p>
    <w:sectPr w:rsidR="00C10030" w:rsidRPr="00E273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E23AC"/>
    <w:multiLevelType w:val="multilevel"/>
    <w:tmpl w:val="52F6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934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84"/>
    <w:rsid w:val="000272C0"/>
    <w:rsid w:val="00084084"/>
    <w:rsid w:val="00147925"/>
    <w:rsid w:val="001D6AEA"/>
    <w:rsid w:val="002459A8"/>
    <w:rsid w:val="00247593"/>
    <w:rsid w:val="003A5DDD"/>
    <w:rsid w:val="00591FCC"/>
    <w:rsid w:val="00684113"/>
    <w:rsid w:val="0096533D"/>
    <w:rsid w:val="00C10030"/>
    <w:rsid w:val="00DA542A"/>
    <w:rsid w:val="00E2736A"/>
    <w:rsid w:val="00EF2A4D"/>
    <w:rsid w:val="00F83CBC"/>
    <w:rsid w:val="00F9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47FF82"/>
  <w15:chartTrackingRefBased/>
  <w15:docId w15:val="{0C2B2659-950A-4965-8EC6-B7B6FFBA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8408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40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408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408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408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408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408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408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408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8408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840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840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8408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8408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8408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8408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8408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8408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8408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840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8408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8408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840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8408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8408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8408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840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8408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84084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E2736A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E273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erman-design-council.de/en/design-perspectives/article-detail/kate-raworth-and-the-doughnut-econom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ad-nauheim.de/de/aktuelles-bad-nauheim/buergernah/2022/2022-11-02-online-buerger-innenbeteiligung" TargetMode="External"/><Relationship Id="rId5" Type="http://schemas.openxmlformats.org/officeDocument/2006/relationships/hyperlink" Target="https://doughnuteconomics.org/stories/local-government-case-study-bad-nauheim-germany-a266bd39-0d03-4602-8edf-4f3d9b366cd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1400</Words>
  <Characters>1415</Characters>
  <Application>Microsoft Office Word</Application>
  <DocSecurity>0</DocSecurity>
  <Lines>48</Lines>
  <Paragraphs>19</Paragraphs>
  <ScaleCrop>false</ScaleCrop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Lioren Nuyarion</dc:creator>
  <cp:keywords/>
  <dc:description/>
  <cp:lastModifiedBy>Lioren Nuyarion</cp:lastModifiedBy>
  <cp:revision>6</cp:revision>
  <dcterms:created xsi:type="dcterms:W3CDTF">2026-05-09T13:23:00Z</dcterms:created>
  <dcterms:modified xsi:type="dcterms:W3CDTF">2026-05-11T05:17:00Z</dcterms:modified>
</cp:coreProperties>
</file>